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
<Relationships xmlns="http://schemas.openxmlformats.org/package/2006/relationships">
 <Relationship Id="rId1" Type="http://schemas.openxmlformats.org/officeDocument/2006/relationships/officeDocument" Target="word/document.xml" />
 <Relationship Id="rId2" Type="http://schemas.openxmlformats.org/package/2006/relationships/metadata/core-properties" Target="docProps/core.xml" />
 <Relationship Id="rId3" Type="http://schemas.openxmlformats.org/officeDocument/2006/relationships/extended-properties" Target="docProps/app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37"/>
        <w:gridCol w:w="115"/>
        <w:gridCol w:w="1905"/>
        <w:gridCol w:w="115"/>
        <w:gridCol w:w="1920"/>
        <w:gridCol w:w="115"/>
        <w:gridCol w:w="458"/>
        <w:gridCol w:w="43"/>
        <w:gridCol w:w="287"/>
        <w:gridCol w:w="114"/>
        <w:gridCol w:w="115"/>
        <w:gridCol w:w="673"/>
        <w:gridCol w:w="344"/>
        <w:gridCol w:w="58"/>
        <w:gridCol w:w="172"/>
        <w:gridCol w:w="1346"/>
      </w:tblGrid>
      <w:tr>
        <w:trPr>
          <w:trHeight w:hRule="exact" w:val="115"/>
        </w:trPr>
        <w:tc>
          <w:tcPr>
            <w:tcW w:w="8797" w:type="dxa"/>
            <w:gridSpan w:val="12"/>
          </w:tcPr>
          <w:p>
     </w:p>
        </w:tc>
        <w:tc>
          <w:tcPr>
            <w:tcW w:w="1920" w:type="dxa"/>
            <w:gridSpan w:val="4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Página 1 de 2</w:t>
            </w:r>
          </w:p>
        </w:tc>
      </w:tr>
      <w:tr>
        <w:trPr>
          <w:trHeight w:hRule="exact" w:val="114"/>
        </w:trPr>
        <w:tc>
          <w:tcPr>
            <w:tcW w:w="2937" w:type="dxa"/>
          </w:tcPr>
          <w:p>
     </w:p>
        </w:tc>
        <w:tc>
          <w:tcPr>
            <w:tcW w:w="5072" w:type="dxa"/>
            <w:gridSpan w:val="9"/>
            <w:vMerge w:val="restart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pacing w:val="-2"/>
              </w:rPr>
              <w:t xml:space="preserve">BALANÇO FINANCEIRO</w:t>
            </w:r>
          </w:p>
        </w:tc>
        <w:tc>
          <w:tcPr>
            <w:tcW w:w="788" w:type="dxa"/>
            <w:gridSpan w:val="2"/>
          </w:tcPr>
          <w:p>
     </w:p>
        </w:tc>
        <w:tc>
          <w:tcPr>
            <w:tcW w:w="1920" w:type="dxa"/>
            <w:gridSpan w:val="4"/>
            <w:vMerge/>
            <w:vAlign w:val="center"/>
            <w:shd w:val="clear" w:color="auto" w:fill="FFFFFF"/>
          </w:tcPr>
          <w:p>
     </w:p>
        </w:tc>
      </w:tr>
      <w:tr>
        <w:trPr>
          <w:trHeight w:hRule="exact" w:val="115"/>
        </w:trPr>
        <w:tc>
          <w:tcPr>
            <w:tcW w:w="2937" w:type="dxa"/>
          </w:tcPr>
          <w:p>
     </w:p>
        </w:tc>
        <w:tc>
          <w:tcPr>
            <w:tcW w:w="5072" w:type="dxa"/>
            <w:gridSpan w:val="9"/>
            <w:vMerge/>
            <w:shd w:val="clear" w:color="auto" w:fill="FFFFFF"/>
          </w:tcPr>
          <w:p>
     </w:p>
        </w:tc>
        <w:tc>
          <w:tcPr>
            <w:tcW w:w="2708" w:type="dxa"/>
            <w:gridSpan w:val="6"/>
          </w:tcPr>
          <w:p>
     </w:p>
        </w:tc>
      </w:tr>
      <w:tr>
        <w:trPr>
          <w:trHeight w:hRule="exact" w:val="215"/>
        </w:trPr>
        <w:tc>
          <w:tcPr>
            <w:tcW w:w="2937" w:type="dxa"/>
          </w:tcPr>
          <w:p>
     </w:p>
        </w:tc>
        <w:tc>
          <w:tcPr>
            <w:tcW w:w="5072" w:type="dxa"/>
            <w:gridSpan w:val="9"/>
            <w:vMerge/>
            <w:shd w:val="clear" w:color="auto" w:fill="FFFFFF"/>
          </w:tcPr>
          <w:p>
     </w:p>
        </w:tc>
        <w:tc>
          <w:tcPr>
            <w:tcW w:w="1362" w:type="dxa"/>
            <w:gridSpan w:val="5"/>
          </w:tcPr>
          <w:p>
     </w:p>
        </w:tc>
        <w:tc>
          <w:tcPr>
            <w:tcW w:w="1346" w:type="dxa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R$  1,00</w:t>
            </w:r>
          </w:p>
        </w:tc>
      </w:tr>
      <w:tr>
        <w:trPr>
          <w:trHeight w:hRule="exact" w:val="229"/>
        </w:trPr>
        <w:tc>
          <w:tcPr>
            <w:tcW w:w="495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Município: Turuçu</w:t>
            </w:r>
          </w:p>
        </w:tc>
        <w:tc>
          <w:tcPr>
            <w:tcW w:w="5760" w:type="dxa"/>
            <w:gridSpan w:val="13"/>
          </w:tcPr>
          <w:p>
     </w:p>
        </w:tc>
      </w:tr>
      <w:tr>
        <w:trPr>
          <w:trHeight w:hRule="exact" w:val="229"/>
        </w:trPr>
        <w:tc>
          <w:tcPr>
            <w:tcW w:w="5072" w:type="dxa"/>
            <w:gridSpan w:val="4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5645" w:type="dxa"/>
            <w:gridSpan w:val="12"/>
          </w:tcPr>
          <w:p>
     </w:p>
        </w:tc>
      </w:tr>
      <w:tr>
        <w:trPr>
          <w:trHeight w:hRule="exact" w:val="230"/>
        </w:trPr>
        <w:tc>
          <w:tcPr>
            <w:tcW w:w="5072" w:type="dxa"/>
            <w:gridSpan w:val="4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Período: 01/06/2023 até 30/06/2023</w:t>
            </w:r>
          </w:p>
        </w:tc>
        <w:tc>
          <w:tcPr>
            <w:tcW w:w="5645" w:type="dxa"/>
            <w:gridSpan w:val="12"/>
          </w:tcPr>
          <w:p>
     </w:p>
        </w:tc>
      </w:tr>
      <w:tr>
        <w:trPr>
          <w:trHeight w:hRule="exact" w:val="214"/>
        </w:trPr>
        <w:tc>
          <w:tcPr>
            <w:tcW w:w="7895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Unidade Gestora: 0001 - LEGISLATIVO MUNICIPAL</w:t>
            </w:r>
          </w:p>
        </w:tc>
        <w:tc>
          <w:tcPr>
            <w:tcW w:w="2822" w:type="dxa"/>
            <w:gridSpan w:val="7"/>
          </w:tcPr>
          <w:p>
     </w:p>
        </w:tc>
      </w:tr>
      <w:tr>
        <w:trPr>
          <w:trHeight w:hRule="exact" w:val="230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>
     </w:p>
        </w:tc>
      </w:tr>
      <w:tr>
        <w:trPr>
          <w:trHeight w:hRule="exact" w:val="114"/>
        </w:trPr>
        <w:tc>
          <w:tcPr>
            <w:tcW w:w="10717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30"/>
        </w:trPr>
        <w:tc>
          <w:tcPr>
            <w:tcW w:w="3052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5072" w:type="dxa"/>
            <w:gridSpan w:val="9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pacing w:val="-2"/>
              </w:rPr>
              <w:t xml:space="preserve">INGRESSOS</w:t>
            </w:r>
          </w:p>
        </w:tc>
        <w:tc>
          <w:tcPr>
            <w:tcW w:w="2593" w:type="dxa"/>
            <w:gridSpan w:val="5"/>
            <w:tcBorders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114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100"/>
        </w:trPr>
        <w:tc>
          <w:tcPr>
            <w:tcW w:w="7608" w:type="dxa"/>
            <w:gridSpan w:val="8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1533" w:type="dxa"/>
            <w:gridSpan w:val="5"/>
            <w:vMerge w:val="restart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Atual</w:t>
            </w:r>
          </w:p>
        </w:tc>
        <w:tc>
          <w:tcPr>
            <w:tcW w:w="58" w:type="dxa"/>
            <w:vMerge w:val="restart"/>
            <w:shd w:val="clear" w:color="auto" w:fill="FFFFFF"/>
          </w:tcPr>
          <w:p>
     </w:p>
        </w:tc>
        <w:tc>
          <w:tcPr>
            <w:tcW w:w="1518" w:type="dxa"/>
            <w:gridSpan w:val="2"/>
            <w:vMerge w:val="restart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Anterior</w:t>
            </w:r>
          </w:p>
        </w:tc>
      </w:tr>
      <w:tr>
        <w:trPr>
          <w:trHeight w:hRule="exact" w:val="287"/>
        </w:trPr>
        <w:tc>
          <w:tcPr>
            <w:tcW w:w="7107" w:type="dxa"/>
            <w:gridSpan w:val="6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458" w:type="dxa"/>
            <w:vAlign w:val="bottom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Nota</w:t>
            </w: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Merge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</w:p>
        </w:tc>
        <w:tc>
          <w:tcPr>
            <w:tcW w:w="58" w:type="dxa"/>
            <w:vMerge/>
            <w:shd w:val="clear" w:color="auto" w:fill="FFFFFF"/>
          </w:tcPr>
          <w:p>
     </w:p>
        </w:tc>
        <w:tc>
          <w:tcPr>
            <w:tcW w:w="1518" w:type="dxa"/>
            <w:gridSpan w:val="2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115"/>
        </w:trPr>
        <w:tc>
          <w:tcPr>
            <w:tcW w:w="7608" w:type="dxa"/>
            <w:gridSpan w:val="8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1533" w:type="dxa"/>
            <w:gridSpan w:val="5"/>
            <w:vMerge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</w:p>
        </w:tc>
        <w:tc>
          <w:tcPr>
            <w:tcW w:w="58" w:type="dxa"/>
            <w:vMerge/>
            <w:shd w:val="clear" w:color="auto" w:fill="FFFFFF"/>
          </w:tcPr>
          <w:p>
     </w:p>
        </w:tc>
        <w:tc>
          <w:tcPr>
            <w:tcW w:w="1518" w:type="dxa"/>
            <w:gridSpan w:val="2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57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  <w:t xml:space="preserve">Receita Orçamentária (I)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Receitas Correntes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(-)Deduções da Receita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Receitas de Capital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(-)Deduções de Capital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  <w:t xml:space="preserve">Transferências Financeiras Recebidas (II)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115.149,95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106.037,50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Transferências Recebidas para a Execução Orçamentária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115.149,95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106.037,50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Transferências Recebidas Independentes de Execução Orçamentária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Transferencias Recebidas para Aportes de Recursos para o RPPS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Transferências Recebidas para Aportes de Recursos para o RGPS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15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  <w:t xml:space="preserve">Recebimentos Extraorçamentários (III)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32.477,48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17.640,13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Despesa a Liquidar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9.100,00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(19,89)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Despesa a Pagar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8.928,73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8.210,64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Depósitos Restituíveis e Valores Vinculados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14.448,75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9.449,38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Outros Recebimentos Extraorçamentários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15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  <w:t xml:space="preserve">Saldo do Período Anterior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283.573,18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261.681,30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Caixa e Equivalentes de Caixa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283.573,18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261.681,30</w:t>
            </w:r>
          </w:p>
        </w:tc>
      </w:tr>
      <w:tr>
        <w:trPr>
          <w:trHeight w:hRule="exact" w:val="230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3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TOTAL (V) = (I + II + III + IV)</w:t>
            </w:r>
          </w:p>
        </w:tc>
        <w:tc>
          <w:tcPr>
            <w:tcW w:w="616" w:type="dxa"/>
            <w:gridSpan w:val="3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431.200,61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385.358,93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1433"/>
        </w:trPr>
        <w:tc>
          <w:tcPr>
            <w:tcW w:w="10717" w:type="dxa"/>
            <w:gridSpan w:val="16"/>
            <w:tcBorders>
              <w:top w:val="single" w:sz="5" w:space="0" w:color="000000"/>
            </w:tcBorders>
          </w:tcPr>
          <w:p>
     </w:p>
        </w:tc>
      </w:tr>
      <w:tr>
        <w:trPr>
          <w:trHeight w:hRule="exact" w:val="1433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1432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975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988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>
     </w:p>
        </w:tc>
      </w:tr>
      <w:tr>
        <w:trPr>
          <w:trHeight w:hRule="exact" w:val="172"/>
        </w:trPr>
        <w:tc>
          <w:tcPr>
            <w:tcW w:w="10717" w:type="dxa"/>
            <w:gridSpan w:val="16"/>
            <w:tcBorders>
              <w:top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30"/>
        </w:trPr>
        <w:tc>
          <w:tcPr>
            <w:tcW w:w="10717" w:type="dxa"/>
            <w:gridSpan w:val="16"/>
            <w:vAlign w:val="bottom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FONTE: GOVBR - Execução Orçamentária e Contabilidade Pública, 22/Set/2023, 16h e 33m.</w:t>
            </w:r>
          </w:p>
        </w:tc>
      </w:tr>
      <w:tr>
        <w:trPr>
          <w:trHeight w:hRule="exact" w:val="57"/>
        </w:trPr>
        <w:tc>
          <w:tcPr>
            <w:tcW w:w="10717" w:type="dxa"/>
            <w:gridSpan w:val="16"/>
            <w:shd w:val="clear" w:color="auto" w:fill="FFFFFF"/>
          </w:tcPr>
          <w:p>
     </w:p>
        </w:tc>
      </w:tr>
      <w:tr>
        <w:trPr>
          <w:trHeight w:hRule="exact" w:val="114"/>
        </w:trPr>
        <w:tc>
          <w:tcPr>
            <w:tcW w:w="8797" w:type="dxa"/>
            <w:gridSpan w:val="12"/>
          </w:tcPr>
          <w:p>
     </w:p>
        </w:tc>
        <w:tc>
          <w:tcPr>
            <w:tcW w:w="1920" w:type="dxa"/>
            <w:gridSpan w:val="4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Página 2 de 2</w:t>
            </w:r>
          </w:p>
        </w:tc>
      </w:tr>
      <w:tr>
        <w:trPr>
          <w:trHeight w:hRule="exact" w:val="115"/>
        </w:trPr>
        <w:tc>
          <w:tcPr>
            <w:tcW w:w="2937" w:type="dxa"/>
          </w:tcPr>
          <w:p>
     </w:p>
        </w:tc>
        <w:tc>
          <w:tcPr>
            <w:tcW w:w="5072" w:type="dxa"/>
            <w:gridSpan w:val="9"/>
            <w:vMerge w:val="restart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22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pacing w:val="-2"/>
              </w:rPr>
              <w:t xml:space="preserve">BALANÇO FINANCEIRO</w:t>
            </w:r>
          </w:p>
        </w:tc>
        <w:tc>
          <w:tcPr>
            <w:tcW w:w="788" w:type="dxa"/>
            <w:gridSpan w:val="2"/>
          </w:tcPr>
          <w:p>
     </w:p>
        </w:tc>
        <w:tc>
          <w:tcPr>
            <w:tcW w:w="1920" w:type="dxa"/>
            <w:gridSpan w:val="4"/>
            <w:vMerge/>
            <w:vAlign w:val="center"/>
            <w:shd w:val="clear" w:color="auto" w:fill="FFFFFF"/>
          </w:tcPr>
          <w:p>
     </w:p>
        </w:tc>
      </w:tr>
      <w:tr>
        <w:trPr>
          <w:trHeight w:hRule="exact" w:val="115"/>
        </w:trPr>
        <w:tc>
          <w:tcPr>
            <w:tcW w:w="2937" w:type="dxa"/>
          </w:tcPr>
          <w:p>
     </w:p>
        </w:tc>
        <w:tc>
          <w:tcPr>
            <w:tcW w:w="5072" w:type="dxa"/>
            <w:gridSpan w:val="9"/>
            <w:vMerge/>
            <w:shd w:val="clear" w:color="auto" w:fill="FFFFFF"/>
          </w:tcPr>
          <w:p>
     </w:p>
        </w:tc>
        <w:tc>
          <w:tcPr>
            <w:tcW w:w="2708" w:type="dxa"/>
            <w:gridSpan w:val="6"/>
          </w:tcPr>
          <w:p>
     </w:p>
        </w:tc>
      </w:tr>
      <w:tr>
        <w:trPr>
          <w:trHeight w:hRule="exact" w:val="215"/>
        </w:trPr>
        <w:tc>
          <w:tcPr>
            <w:tcW w:w="2937" w:type="dxa"/>
          </w:tcPr>
          <w:p>
     </w:p>
        </w:tc>
        <w:tc>
          <w:tcPr>
            <w:tcW w:w="5072" w:type="dxa"/>
            <w:gridSpan w:val="9"/>
            <w:vMerge/>
            <w:shd w:val="clear" w:color="auto" w:fill="FFFFFF"/>
          </w:tcPr>
          <w:p>
     </w:p>
        </w:tc>
        <w:tc>
          <w:tcPr>
            <w:tcW w:w="1362" w:type="dxa"/>
            <w:gridSpan w:val="5"/>
          </w:tcPr>
          <w:p>
     </w:p>
        </w:tc>
        <w:tc>
          <w:tcPr>
            <w:tcW w:w="1346" w:type="dxa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R$  1,00</w:t>
            </w:r>
          </w:p>
        </w:tc>
      </w:tr>
      <w:tr>
        <w:trPr>
          <w:trHeight w:hRule="exact" w:val="229"/>
        </w:trPr>
        <w:tc>
          <w:tcPr>
            <w:tcW w:w="4957" w:type="dxa"/>
            <w:gridSpan w:val="3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Município: Turuçu</w:t>
            </w:r>
          </w:p>
        </w:tc>
        <w:tc>
          <w:tcPr>
            <w:tcW w:w="5760" w:type="dxa"/>
            <w:gridSpan w:val="13"/>
          </w:tcPr>
          <w:p>
     </w:p>
        </w:tc>
      </w:tr>
      <w:tr>
        <w:trPr>
          <w:trHeight w:hRule="exact" w:val="229"/>
        </w:trPr>
        <w:tc>
          <w:tcPr>
            <w:tcW w:w="5072" w:type="dxa"/>
            <w:gridSpan w:val="4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5645" w:type="dxa"/>
            <w:gridSpan w:val="12"/>
          </w:tcPr>
          <w:p>
     </w:p>
        </w:tc>
      </w:tr>
      <w:tr>
        <w:trPr>
          <w:trHeight w:hRule="exact" w:val="229"/>
        </w:trPr>
        <w:tc>
          <w:tcPr>
            <w:tcW w:w="5072" w:type="dxa"/>
            <w:gridSpan w:val="4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Período: 01/06/2023 até 30/06/2023</w:t>
            </w:r>
          </w:p>
        </w:tc>
        <w:tc>
          <w:tcPr>
            <w:tcW w:w="5645" w:type="dxa"/>
            <w:gridSpan w:val="12"/>
          </w:tcPr>
          <w:p>
     </w:p>
        </w:tc>
      </w:tr>
      <w:tr>
        <w:trPr>
          <w:trHeight w:hRule="exact" w:val="215"/>
        </w:trPr>
        <w:tc>
          <w:tcPr>
            <w:tcW w:w="7895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Unidade Gestora: 0001 - LEGISLATIVO MUNICIPAL</w:t>
            </w:r>
          </w:p>
        </w:tc>
        <w:tc>
          <w:tcPr>
            <w:tcW w:w="2822" w:type="dxa"/>
            <w:gridSpan w:val="7"/>
          </w:tcPr>
          <w:p>
     </w:p>
        </w:tc>
      </w:tr>
      <w:tr>
        <w:trPr>
          <w:trHeight w:hRule="exact" w:val="230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>
     </w:p>
        </w:tc>
      </w:tr>
      <w:tr>
        <w:trPr>
          <w:trHeight w:hRule="exact" w:val="114"/>
        </w:trPr>
        <w:tc>
          <w:tcPr>
            <w:tcW w:w="10717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29"/>
        </w:trPr>
        <w:tc>
          <w:tcPr>
            <w:tcW w:w="3052" w:type="dxa"/>
            <w:gridSpan w:val="2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5072" w:type="dxa"/>
            <w:gridSpan w:val="9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20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pacing w:val="-2"/>
              </w:rPr>
              <w:t xml:space="preserve">DISPÊNDIOS</w:t>
            </w:r>
          </w:p>
        </w:tc>
        <w:tc>
          <w:tcPr>
            <w:tcW w:w="2593" w:type="dxa"/>
            <w:gridSpan w:val="5"/>
            <w:tcBorders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115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387"/>
        </w:trPr>
        <w:tc>
          <w:tcPr>
            <w:tcW w:w="7107" w:type="dxa"/>
            <w:gridSpan w:val="6"/>
            <w:tcBorders>
              <w:left w:val="single" w:sz="5" w:space="0" w:color="000000"/>
            </w:tcBorders>
            <w:shd w:val="clear" w:color="auto" w:fill="FFFFFF"/>
          </w:tcPr>
          <w:p>
     </w:p>
        </w:tc>
        <w:tc>
          <w:tcPr>
            <w:tcW w:w="458" w:type="dxa"/>
            <w:vAlign w:val="bottom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Nota</w:t>
            </w: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Atual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Exercício</w:t>
            </w:r>
          </w:p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pacing w:val="-2"/>
              </w:rPr>
              <w:t xml:space="preserve">Anterior</w:t>
            </w:r>
          </w:p>
        </w:tc>
      </w:tr>
      <w:tr>
        <w:trPr>
          <w:trHeight w:hRule="exact" w:val="57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  <w:t xml:space="preserve">Despesa Orçamentária (VI)</w:t>
            </w:r>
          </w:p>
        </w:tc>
        <w:tc>
          <w:tcPr>
            <w:tcW w:w="616" w:type="dxa"/>
            <w:gridSpan w:val="3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83.303,28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52.229,22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Despesas Por Função</w:t>
            </w:r>
          </w:p>
        </w:tc>
        <w:tc>
          <w:tcPr>
            <w:tcW w:w="616" w:type="dxa"/>
            <w:gridSpan w:val="3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83.303,28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52.229,22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Legislativa</w:t>
            </w:r>
          </w:p>
        </w:tc>
        <w:tc>
          <w:tcPr>
            <w:tcW w:w="616" w:type="dxa"/>
            <w:gridSpan w:val="3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15.800,00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Administração</w:t>
            </w:r>
          </w:p>
        </w:tc>
        <w:tc>
          <w:tcPr>
            <w:tcW w:w="616" w:type="dxa"/>
            <w:gridSpan w:val="3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67.503,28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52.229,22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73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  <w:t xml:space="preserve">Transferências Financeiras Concedidas (VII)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Transferências Concedidas para a Execução Orcamentaria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Transferências Concedidas - Independentes de Execução Orçamentária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Transferências Concedidas para Aportes de Recursos para o RPPS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Transferências Concedidas para Aportes de Recursos para o RGPS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  <w:t xml:space="preserve">Pagamentos Extraorçamentários (VIII)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99.658,08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26.555,06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Despesa Anterior Paga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9.163,16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14.930,25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Pagamento de Restos a Pagar Não Processados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83.386,20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Pagamento de Restos a Pagar Processados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Depósitos Restituíveis e Valores Vinculados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7.108,72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11.624,81</w:t>
            </w:r>
          </w:p>
        </w:tc>
      </w:tr>
      <w:tr>
        <w:trPr>
          <w:trHeight w:hRule="exact" w:val="286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Outros Pagamentos Extraorçamentários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0,00</w:t>
            </w:r>
          </w:p>
        </w:tc>
      </w:tr>
      <w:tr>
        <w:trPr>
          <w:trHeight w:hRule="exact" w:val="230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72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u w:val="single"/>
                <w:color w:val="000000"/>
                <w:sz w:val="16.5"/>
                <w:spacing w:val="-2"/>
              </w:rPr>
              <w:t xml:space="preserve">Saldo do Período Atual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248.239,25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306.574,65</w:t>
            </w:r>
          </w:p>
        </w:tc>
      </w:tr>
      <w:tr>
        <w:trPr>
          <w:trHeight w:hRule="exact" w:val="2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Caixa e Equivalentes de Caixa</w:t>
            </w:r>
          </w:p>
        </w:tc>
        <w:tc>
          <w:tcPr>
            <w:tcW w:w="115" w:type="dxa"/>
            <w:shd w:val="clear" w:color="auto" w:fill="FFFFFF"/>
          </w:tcPr>
          <w:p>
     </w:p>
        </w:tc>
        <w:tc>
          <w:tcPr>
            <w:tcW w:w="458" w:type="dxa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2"/>
                <w:spacing w:val="-2"/>
              </w:rPr>
            </w:pPr>
          </w:p>
        </w:tc>
        <w:tc>
          <w:tcPr>
            <w:tcW w:w="43" w:type="dxa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248.239,25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306.574,65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387"/>
        </w:trPr>
        <w:tc>
          <w:tcPr>
            <w:tcW w:w="6992" w:type="dxa"/>
            <w:gridSpan w:val="5"/>
            <w:vAlign w:val="center"/>
            <w:tcBorders>
              <w:left w:val="single" w:sz="5" w:space="0" w:color="000000"/>
            </w:tcBorders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TOTAL (X) = (VI + VII + VIII + IX)</w:t>
            </w:r>
          </w:p>
        </w:tc>
        <w:tc>
          <w:tcPr>
            <w:tcW w:w="616" w:type="dxa"/>
            <w:gridSpan w:val="3"/>
            <w:shd w:val="clear" w:color="auto" w:fill="FFFFFF"/>
          </w:tcPr>
          <w:p>
     </w:p>
        </w:tc>
        <w:tc>
          <w:tcPr>
            <w:tcW w:w="1533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431.200,61</w:t>
            </w:r>
          </w:p>
        </w:tc>
        <w:tc>
          <w:tcPr>
            <w:tcW w:w="58" w:type="dxa"/>
            <w:shd w:val="clear" w:color="auto" w:fill="FFFFFF"/>
          </w:tcPr>
          <w:p>
     </w:p>
        </w:tc>
        <w:tc>
          <w:tcPr>
            <w:tcW w:w="1518" w:type="dxa"/>
            <w:gridSpan w:val="2"/>
            <w:vAlign w:val="center"/>
            <w:tcBorders>
              <w:right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385.358,93</w:t>
            </w:r>
          </w:p>
        </w:tc>
      </w:tr>
      <w:tr>
        <w:trPr>
          <w:trHeight w:hRule="exact" w:val="229"/>
        </w:trPr>
        <w:tc>
          <w:tcPr>
            <w:tcW w:w="10717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114"/>
        </w:trPr>
        <w:tc>
          <w:tcPr>
            <w:tcW w:w="10717" w:type="dxa"/>
            <w:gridSpan w:val="16"/>
            <w:tcBorders>
              <w:top w:val="single" w:sz="5" w:space="0" w:color="000000"/>
            </w:tcBorders>
          </w:tcPr>
          <w:p>
     </w:p>
        </w:tc>
      </w:tr>
      <w:tr>
        <w:trPr>
          <w:trHeight w:hRule="exact" w:val="230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114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215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115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1433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1433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1303"/>
        </w:trPr>
        <w:tc>
          <w:tcPr>
            <w:tcW w:w="10717" w:type="dxa"/>
            <w:gridSpan w:val="16"/>
          </w:tcPr>
          <w:p>
     </w:p>
        </w:tc>
      </w:tr>
      <w:tr>
        <w:trPr>
          <w:trHeight w:hRule="exact" w:val="1304"/>
        </w:trPr>
        <w:tc>
          <w:tcPr>
            <w:tcW w:w="10717" w:type="dxa"/>
            <w:gridSpan w:val="16"/>
            <w:tcBorders>
              <w:bottom w:val="single" w:sz="5" w:space="0" w:color="000000"/>
            </w:tcBorders>
          </w:tcPr>
          <w:p>
     </w:p>
        </w:tc>
      </w:tr>
      <w:tr>
        <w:trPr>
          <w:trHeight w:hRule="exact" w:val="172"/>
        </w:trPr>
        <w:tc>
          <w:tcPr>
            <w:tcW w:w="10717" w:type="dxa"/>
            <w:gridSpan w:val="16"/>
            <w:tcBorders>
              <w:top w:val="single" w:sz="5" w:space="0" w:color="000000"/>
            </w:tcBorders>
            <w:shd w:val="clear" w:color="auto" w:fill="FFFFFF"/>
          </w:tcPr>
          <w:p>
     </w:p>
        </w:tc>
      </w:tr>
      <w:tr>
        <w:trPr>
          <w:trHeight w:hRule="exact" w:val="229"/>
        </w:trPr>
        <w:tc>
          <w:tcPr>
            <w:tcW w:w="10717" w:type="dxa"/>
            <w:gridSpan w:val="16"/>
            <w:vAlign w:val="bottom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FONTE: GOVBR - Execução Orçamentária e Contabilidade Pública, 22/Set/2023, 16h e 33m.</w:t>
            </w:r>
          </w:p>
        </w:tc>
      </w:tr>
      <w:tr>
        <w:trPr>
          <w:trHeight w:hRule="exact" w:val="58"/>
        </w:trPr>
        <w:tc>
          <w:tcPr>
            <w:tcW w:w="10717" w:type="dxa"/>
            <w:gridSpan w:val="16"/>
            <w:shd w:val="clear" w:color="auto" w:fill="FFFFFF"/>
          </w:tcPr>
          <w:p>
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</w:font>
  <w:font w:name="Arial">
 </w:font>
  <w:font w:name="Cambria">
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
<Relationships xmlns="http://schemas.openxmlformats.org/package/2006/relationships">
 <Relationship Id="rId1" Type="http://schemas.openxmlformats.org/officeDocument/2006/relationships/styles" Target="styles.xml" />
 <Relationship Id="rId2" Type="http://schemas.openxmlformats.org/officeDocument/2006/relationships/settings" Target="settings.xml" />
 <Relationship Id="rId3" Type="http://schemas.openxmlformats.org/officeDocument/2006/relationships/webSettings" Target="webSettings.xml" />
 <Relationship Id="rId4" Type="http://schemas.openxmlformats.org/officeDocument/2006/relationships/fontTable" Target="fontTable.xml" 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Stimulsoft Reports 2012.2.1400 from 13 September 2012</dc:creator>
  <cp:keywords/>
  <dc:description/>
  <cp:lastModifiedBy>Stimulsoft Reports 2012.2.1400 from 13 September 2012</cp:lastModifiedBy>
  <cp:revision>1</cp:revision>
  <dcterms:created xsi:type="dcterms:W3CDTF">2023-09-22T16:34:46Z</dcterms:created>
  <dcterms:modified xsi:type="dcterms:W3CDTF">2023-09-22T16:34:46Z</dcterms:modified>
</cp:coreProperties>
</file>